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2021年度松江区工业互联网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产业创新工程专项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资金项目</w:t>
      </w:r>
      <w:r>
        <w:rPr>
          <w:rFonts w:hint="eastAsia" w:ascii="方正小标宋简体" w:hAnsi="华文中宋" w:eastAsia="方正小标宋简体"/>
          <w:sz w:val="44"/>
          <w:szCs w:val="44"/>
        </w:rPr>
        <w:t>指南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为进一步落实十四五规划关于加快数字化发展，推动数字经济和实体经济深度融合的工作要求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工业互联网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促经济数字化转型，助力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本区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打造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G60科创走廊工业互联网示范标杆和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数字经济创新型产业集群，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发布本年度项目指南：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一、工业互联网创新应用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(一)工业互联网全场景集成应用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重点支持本区电子信息、生物医药、汽车制造、新材料、装备制造、食品加工等制造企业，开展工业互联网网络化协同、服务化延伸、个性化定制、智能化生产等多种应用模式的全场景协同创新项目，建设设备自动化、流程数字化、设备网络化、管理智能化的工业互联网标杆工厂，形成一批高质量数据集和面向应用场景的领域的知识图谱，探索基于机理模型的关键工序优化，增强基于数字孪生的设计制造水平，加快形成动态感知、预测预警、自主决策和精准执行能力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(二)工业互联网关键环节创新应用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支持装备制造、电子信息、生物医药、汽车制造、新材料等行业企业，融合应用5G、区块链、边缘计算、模拟仿真、数字孪生、人工智能、AR/VR等新兴技术，针对制造企业的研发、生产、仓储、物流、销售等关键环节，开展基于数据采集、装备联网、智能质检、协同制造、智能仓储、能源管理、辅助装配、设备运维、供应链管理、数字化生产、人员安全管理等重点工业场景的工业互联网创新应用，推动关键环节的网络化、数字化、智能化，实现企业的提质、增效、降本、减存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二、“两化”深度融合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支持区内制造企业在部署MES、APS、WMS等信息化信息系统的基础上，对接贯通多个平台和信息系统，通过信息孤岛的打通和基础数据的共享，优化产销流程，加强产品追溯管理，提升仓库管理效率，提高资源配置、过程控制、质量管控和反应速度等方面的管理水平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三、“两化”融合管理体系贯标奖励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支持鼓励本区企业积极开展“两化”融合管理体系贯标，通过贯标来强化变革管理，明确企业系统地建立、实施、保持和改进两化融合管理机制，通过规范两化融合的过程，帮助企业不断打造信息化环境下的新型能力，获取与企业战略相匹配的可持续竞争优势。对已获得“两化融合管理体系评定证书”且证书在有效期内的企业予以资金奖励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</w:rPr>
        <w:t>四、推动中小企业上云上平台服务商奖励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鼓励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本区</w:t>
      </w:r>
      <w:r>
        <w:rPr>
          <w:rFonts w:hint="eastAsia" w:ascii="仿宋_GB2312" w:eastAsia="仿宋_GB2312" w:cs="Times New Roman"/>
          <w:sz w:val="32"/>
          <w:szCs w:val="32"/>
        </w:rPr>
        <w:t>平台和云服务商企业协助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G60科创走廊长三角范围内</w:t>
      </w:r>
      <w:r>
        <w:rPr>
          <w:rFonts w:hint="eastAsia" w:ascii="仿宋_GB2312" w:eastAsia="仿宋_GB2312" w:cs="Times New Roman"/>
          <w:sz w:val="32"/>
          <w:szCs w:val="32"/>
        </w:rPr>
        <w:t>中小企业上云上平台，对累计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首次</w:t>
      </w:r>
      <w:r>
        <w:rPr>
          <w:rFonts w:hint="eastAsia" w:ascii="仿宋_GB2312" w:eastAsia="仿宋_GB2312" w:cs="Times New Roman"/>
          <w:sz w:val="32"/>
          <w:szCs w:val="32"/>
        </w:rPr>
        <w:t>完成服务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G60科创走廊长三角范围内</w:t>
      </w:r>
      <w:r>
        <w:rPr>
          <w:rFonts w:hint="eastAsia" w:ascii="仿宋_GB2312" w:eastAsia="仿宋_GB2312" w:cs="Times New Roman"/>
          <w:sz w:val="32"/>
          <w:szCs w:val="32"/>
        </w:rPr>
        <w:t>新增上云上平台企业500家和1000家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数量</w:t>
      </w:r>
      <w:r>
        <w:rPr>
          <w:rFonts w:hint="eastAsia" w:ascii="仿宋_GB2312" w:eastAsia="仿宋_GB2312" w:cs="Times New Roman"/>
          <w:sz w:val="32"/>
          <w:szCs w:val="32"/>
        </w:rPr>
        <w:t>的平台和服务商，采用后补贴的方式给予分档奖励。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备注：优先鼓励的两类项目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1.</w:t>
      </w:r>
      <w:r>
        <w:rPr>
          <w:rFonts w:ascii="仿宋_GB2312" w:eastAsia="仿宋_GB2312" w:cs="Times New Roman"/>
          <w:sz w:val="28"/>
          <w:szCs w:val="28"/>
        </w:rPr>
        <w:t xml:space="preserve"> </w:t>
      </w:r>
      <w:r>
        <w:rPr>
          <w:rFonts w:hint="eastAsia" w:ascii="仿宋_GB2312" w:eastAsia="仿宋_GB2312" w:cs="Times New Roman"/>
          <w:sz w:val="28"/>
          <w:szCs w:val="28"/>
        </w:rPr>
        <w:t>场景需求方和方案实施方均来自于本区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2.</w:t>
      </w:r>
      <w:r>
        <w:rPr>
          <w:rFonts w:ascii="仿宋_GB2312" w:eastAsia="仿宋_GB2312" w:cs="Times New Roman"/>
          <w:sz w:val="28"/>
          <w:szCs w:val="28"/>
        </w:rPr>
        <w:t xml:space="preserve"> </w:t>
      </w:r>
      <w:r>
        <w:rPr>
          <w:rFonts w:hint="eastAsia" w:ascii="仿宋_GB2312" w:eastAsia="仿宋_GB2312" w:cs="Times New Roman"/>
          <w:sz w:val="28"/>
          <w:szCs w:val="28"/>
        </w:rPr>
        <w:t>积极参与本区工业互联网促数字化转型应用场景征集的企业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55911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324F"/>
    <w:rsid w:val="00001667"/>
    <w:rsid w:val="00014B13"/>
    <w:rsid w:val="0001579B"/>
    <w:rsid w:val="00015D9C"/>
    <w:rsid w:val="000174D1"/>
    <w:rsid w:val="0002007C"/>
    <w:rsid w:val="00025316"/>
    <w:rsid w:val="000271C0"/>
    <w:rsid w:val="0003050C"/>
    <w:rsid w:val="00030B78"/>
    <w:rsid w:val="000310C2"/>
    <w:rsid w:val="00031DD4"/>
    <w:rsid w:val="00032356"/>
    <w:rsid w:val="00035AEF"/>
    <w:rsid w:val="00035EC9"/>
    <w:rsid w:val="0003662E"/>
    <w:rsid w:val="00043591"/>
    <w:rsid w:val="000546DD"/>
    <w:rsid w:val="00055A01"/>
    <w:rsid w:val="00055E58"/>
    <w:rsid w:val="00065425"/>
    <w:rsid w:val="0007409D"/>
    <w:rsid w:val="000751D4"/>
    <w:rsid w:val="0007723F"/>
    <w:rsid w:val="00097BE7"/>
    <w:rsid w:val="000A3863"/>
    <w:rsid w:val="000A38F5"/>
    <w:rsid w:val="000A540A"/>
    <w:rsid w:val="000A67BD"/>
    <w:rsid w:val="000B3D16"/>
    <w:rsid w:val="000C18AD"/>
    <w:rsid w:val="000C48AC"/>
    <w:rsid w:val="000D1381"/>
    <w:rsid w:val="000D424B"/>
    <w:rsid w:val="000D68EC"/>
    <w:rsid w:val="000E3CE3"/>
    <w:rsid w:val="000F06F7"/>
    <w:rsid w:val="000F7411"/>
    <w:rsid w:val="00105677"/>
    <w:rsid w:val="001057C4"/>
    <w:rsid w:val="00113D04"/>
    <w:rsid w:val="0011514E"/>
    <w:rsid w:val="0012008C"/>
    <w:rsid w:val="0012333E"/>
    <w:rsid w:val="00127B87"/>
    <w:rsid w:val="0013457E"/>
    <w:rsid w:val="00136CBA"/>
    <w:rsid w:val="0014464D"/>
    <w:rsid w:val="001447A2"/>
    <w:rsid w:val="0014591C"/>
    <w:rsid w:val="00150ED4"/>
    <w:rsid w:val="00151A35"/>
    <w:rsid w:val="00154D99"/>
    <w:rsid w:val="00165785"/>
    <w:rsid w:val="00172E51"/>
    <w:rsid w:val="00183BD2"/>
    <w:rsid w:val="001A32CE"/>
    <w:rsid w:val="001A433A"/>
    <w:rsid w:val="001B14AE"/>
    <w:rsid w:val="001C107E"/>
    <w:rsid w:val="001C57B3"/>
    <w:rsid w:val="001D0967"/>
    <w:rsid w:val="001D19C0"/>
    <w:rsid w:val="001D3707"/>
    <w:rsid w:val="001D37CD"/>
    <w:rsid w:val="001D6AEC"/>
    <w:rsid w:val="001D7CF9"/>
    <w:rsid w:val="001E3877"/>
    <w:rsid w:val="001E3972"/>
    <w:rsid w:val="001E7891"/>
    <w:rsid w:val="001F1288"/>
    <w:rsid w:val="001F365F"/>
    <w:rsid w:val="001F62B9"/>
    <w:rsid w:val="00200E47"/>
    <w:rsid w:val="00223315"/>
    <w:rsid w:val="00224936"/>
    <w:rsid w:val="002318EF"/>
    <w:rsid w:val="00234C76"/>
    <w:rsid w:val="002438BC"/>
    <w:rsid w:val="00243AD8"/>
    <w:rsid w:val="002459B5"/>
    <w:rsid w:val="00250851"/>
    <w:rsid w:val="002540B4"/>
    <w:rsid w:val="00262AD2"/>
    <w:rsid w:val="00263E71"/>
    <w:rsid w:val="00264744"/>
    <w:rsid w:val="0026714C"/>
    <w:rsid w:val="00270838"/>
    <w:rsid w:val="00272E0A"/>
    <w:rsid w:val="00275A9B"/>
    <w:rsid w:val="00282088"/>
    <w:rsid w:val="00292DBE"/>
    <w:rsid w:val="00292FFC"/>
    <w:rsid w:val="002938A2"/>
    <w:rsid w:val="002955B2"/>
    <w:rsid w:val="00296D94"/>
    <w:rsid w:val="002970E8"/>
    <w:rsid w:val="002B4C16"/>
    <w:rsid w:val="002B5951"/>
    <w:rsid w:val="002B71D0"/>
    <w:rsid w:val="002C4F5C"/>
    <w:rsid w:val="002C717E"/>
    <w:rsid w:val="002D2B90"/>
    <w:rsid w:val="002D3024"/>
    <w:rsid w:val="002D469D"/>
    <w:rsid w:val="002E2E18"/>
    <w:rsid w:val="002E4C39"/>
    <w:rsid w:val="002F391E"/>
    <w:rsid w:val="002F6CD1"/>
    <w:rsid w:val="002F7506"/>
    <w:rsid w:val="00305926"/>
    <w:rsid w:val="003066ED"/>
    <w:rsid w:val="00317763"/>
    <w:rsid w:val="00323108"/>
    <w:rsid w:val="00325C5B"/>
    <w:rsid w:val="003319C2"/>
    <w:rsid w:val="00345330"/>
    <w:rsid w:val="00346955"/>
    <w:rsid w:val="00356339"/>
    <w:rsid w:val="00364CE1"/>
    <w:rsid w:val="00370AE9"/>
    <w:rsid w:val="00374B37"/>
    <w:rsid w:val="00375D0F"/>
    <w:rsid w:val="003A26E7"/>
    <w:rsid w:val="003A4366"/>
    <w:rsid w:val="003A4709"/>
    <w:rsid w:val="003B1E3B"/>
    <w:rsid w:val="003B4B2D"/>
    <w:rsid w:val="003B5330"/>
    <w:rsid w:val="003C059F"/>
    <w:rsid w:val="003C5D7C"/>
    <w:rsid w:val="003C77DB"/>
    <w:rsid w:val="003F03E4"/>
    <w:rsid w:val="00432897"/>
    <w:rsid w:val="00432D51"/>
    <w:rsid w:val="00433747"/>
    <w:rsid w:val="00436CEE"/>
    <w:rsid w:val="00446572"/>
    <w:rsid w:val="0045561E"/>
    <w:rsid w:val="0046228A"/>
    <w:rsid w:val="00462DF4"/>
    <w:rsid w:val="00463D62"/>
    <w:rsid w:val="00473B96"/>
    <w:rsid w:val="00482189"/>
    <w:rsid w:val="0048339D"/>
    <w:rsid w:val="00483C2C"/>
    <w:rsid w:val="0048458B"/>
    <w:rsid w:val="0049281B"/>
    <w:rsid w:val="00494F1C"/>
    <w:rsid w:val="004A4D4A"/>
    <w:rsid w:val="004B2534"/>
    <w:rsid w:val="004B6EDF"/>
    <w:rsid w:val="004C65A0"/>
    <w:rsid w:val="004D5BE1"/>
    <w:rsid w:val="004D7893"/>
    <w:rsid w:val="004E0254"/>
    <w:rsid w:val="004E0543"/>
    <w:rsid w:val="004E2090"/>
    <w:rsid w:val="004F1931"/>
    <w:rsid w:val="004F57C9"/>
    <w:rsid w:val="004F611B"/>
    <w:rsid w:val="005149FD"/>
    <w:rsid w:val="00515659"/>
    <w:rsid w:val="00531B03"/>
    <w:rsid w:val="00535AC9"/>
    <w:rsid w:val="00544426"/>
    <w:rsid w:val="00546520"/>
    <w:rsid w:val="005467DA"/>
    <w:rsid w:val="00547241"/>
    <w:rsid w:val="0055540F"/>
    <w:rsid w:val="00561413"/>
    <w:rsid w:val="00564782"/>
    <w:rsid w:val="005711EF"/>
    <w:rsid w:val="00583E80"/>
    <w:rsid w:val="00586CBD"/>
    <w:rsid w:val="00596E7F"/>
    <w:rsid w:val="005A3B1D"/>
    <w:rsid w:val="005A43D1"/>
    <w:rsid w:val="005B55B0"/>
    <w:rsid w:val="005C2125"/>
    <w:rsid w:val="005C607B"/>
    <w:rsid w:val="005C6A22"/>
    <w:rsid w:val="005C7772"/>
    <w:rsid w:val="005C7B5B"/>
    <w:rsid w:val="005D2B03"/>
    <w:rsid w:val="005E3107"/>
    <w:rsid w:val="005E3EF3"/>
    <w:rsid w:val="005F026D"/>
    <w:rsid w:val="0060388B"/>
    <w:rsid w:val="00603D80"/>
    <w:rsid w:val="006077EE"/>
    <w:rsid w:val="0061094C"/>
    <w:rsid w:val="00610F88"/>
    <w:rsid w:val="00614926"/>
    <w:rsid w:val="00624D0E"/>
    <w:rsid w:val="0063035E"/>
    <w:rsid w:val="00630CAC"/>
    <w:rsid w:val="00632540"/>
    <w:rsid w:val="00632A89"/>
    <w:rsid w:val="006339B6"/>
    <w:rsid w:val="00640538"/>
    <w:rsid w:val="00644C0A"/>
    <w:rsid w:val="00651FB4"/>
    <w:rsid w:val="0065261F"/>
    <w:rsid w:val="00654F7D"/>
    <w:rsid w:val="00667354"/>
    <w:rsid w:val="006728E3"/>
    <w:rsid w:val="00672BA6"/>
    <w:rsid w:val="00675D93"/>
    <w:rsid w:val="0068122D"/>
    <w:rsid w:val="006824CA"/>
    <w:rsid w:val="006840FA"/>
    <w:rsid w:val="0068698A"/>
    <w:rsid w:val="00687849"/>
    <w:rsid w:val="00693630"/>
    <w:rsid w:val="006A16B3"/>
    <w:rsid w:val="006A254D"/>
    <w:rsid w:val="006B14D7"/>
    <w:rsid w:val="006B5653"/>
    <w:rsid w:val="006B6D96"/>
    <w:rsid w:val="006C7D39"/>
    <w:rsid w:val="006E03B7"/>
    <w:rsid w:val="006E05BF"/>
    <w:rsid w:val="006E2417"/>
    <w:rsid w:val="006E2805"/>
    <w:rsid w:val="006E41CE"/>
    <w:rsid w:val="007006BE"/>
    <w:rsid w:val="00700A10"/>
    <w:rsid w:val="00703FD9"/>
    <w:rsid w:val="00707453"/>
    <w:rsid w:val="00711FD3"/>
    <w:rsid w:val="007120D7"/>
    <w:rsid w:val="00720898"/>
    <w:rsid w:val="00721259"/>
    <w:rsid w:val="00721A29"/>
    <w:rsid w:val="007239CF"/>
    <w:rsid w:val="0072410A"/>
    <w:rsid w:val="0072689A"/>
    <w:rsid w:val="007571A8"/>
    <w:rsid w:val="0076518A"/>
    <w:rsid w:val="0077469E"/>
    <w:rsid w:val="00784572"/>
    <w:rsid w:val="00796E01"/>
    <w:rsid w:val="007A0340"/>
    <w:rsid w:val="007A3FA7"/>
    <w:rsid w:val="007B283A"/>
    <w:rsid w:val="007B3AFB"/>
    <w:rsid w:val="007B6DAD"/>
    <w:rsid w:val="007C665B"/>
    <w:rsid w:val="007C6B5E"/>
    <w:rsid w:val="007D2E28"/>
    <w:rsid w:val="007E3C42"/>
    <w:rsid w:val="007E4B78"/>
    <w:rsid w:val="007F1A54"/>
    <w:rsid w:val="007F7BA5"/>
    <w:rsid w:val="008010D5"/>
    <w:rsid w:val="008021D8"/>
    <w:rsid w:val="00822548"/>
    <w:rsid w:val="00824C85"/>
    <w:rsid w:val="008278CA"/>
    <w:rsid w:val="0083629C"/>
    <w:rsid w:val="008401A9"/>
    <w:rsid w:val="0084324F"/>
    <w:rsid w:val="0084602B"/>
    <w:rsid w:val="0085080B"/>
    <w:rsid w:val="00854434"/>
    <w:rsid w:val="00861098"/>
    <w:rsid w:val="008653EB"/>
    <w:rsid w:val="00867AC3"/>
    <w:rsid w:val="00867BC3"/>
    <w:rsid w:val="0087635B"/>
    <w:rsid w:val="00877304"/>
    <w:rsid w:val="00880229"/>
    <w:rsid w:val="00881655"/>
    <w:rsid w:val="00881EAC"/>
    <w:rsid w:val="008832DD"/>
    <w:rsid w:val="00883C8D"/>
    <w:rsid w:val="0088521A"/>
    <w:rsid w:val="008910B8"/>
    <w:rsid w:val="008959BA"/>
    <w:rsid w:val="0089620E"/>
    <w:rsid w:val="008A151B"/>
    <w:rsid w:val="008A1F5F"/>
    <w:rsid w:val="008A2B88"/>
    <w:rsid w:val="008A7D03"/>
    <w:rsid w:val="008B0EC1"/>
    <w:rsid w:val="008B1F80"/>
    <w:rsid w:val="008C495F"/>
    <w:rsid w:val="008D1C2D"/>
    <w:rsid w:val="008D4A78"/>
    <w:rsid w:val="008E123A"/>
    <w:rsid w:val="008E1581"/>
    <w:rsid w:val="008E1D47"/>
    <w:rsid w:val="008E61A6"/>
    <w:rsid w:val="008E7465"/>
    <w:rsid w:val="008E7D7D"/>
    <w:rsid w:val="008F0E30"/>
    <w:rsid w:val="00900028"/>
    <w:rsid w:val="0090669F"/>
    <w:rsid w:val="00907B1E"/>
    <w:rsid w:val="0091208F"/>
    <w:rsid w:val="00915BFF"/>
    <w:rsid w:val="00915CE0"/>
    <w:rsid w:val="009226BC"/>
    <w:rsid w:val="00937EEA"/>
    <w:rsid w:val="00943EE8"/>
    <w:rsid w:val="00951BF2"/>
    <w:rsid w:val="00951F93"/>
    <w:rsid w:val="0096434F"/>
    <w:rsid w:val="00972025"/>
    <w:rsid w:val="00975E8D"/>
    <w:rsid w:val="00982785"/>
    <w:rsid w:val="009845C5"/>
    <w:rsid w:val="009846FA"/>
    <w:rsid w:val="00997FC6"/>
    <w:rsid w:val="009A594A"/>
    <w:rsid w:val="009B07DB"/>
    <w:rsid w:val="009B3D5B"/>
    <w:rsid w:val="009B4088"/>
    <w:rsid w:val="009D6A09"/>
    <w:rsid w:val="009D7A41"/>
    <w:rsid w:val="009E38A8"/>
    <w:rsid w:val="009E4E50"/>
    <w:rsid w:val="009F0D40"/>
    <w:rsid w:val="009F287F"/>
    <w:rsid w:val="009F4D65"/>
    <w:rsid w:val="00A048E0"/>
    <w:rsid w:val="00A108A6"/>
    <w:rsid w:val="00A242A9"/>
    <w:rsid w:val="00A33B89"/>
    <w:rsid w:val="00A347C2"/>
    <w:rsid w:val="00A366F7"/>
    <w:rsid w:val="00A47365"/>
    <w:rsid w:val="00A77D01"/>
    <w:rsid w:val="00A807A7"/>
    <w:rsid w:val="00A850A3"/>
    <w:rsid w:val="00A926FE"/>
    <w:rsid w:val="00A9274F"/>
    <w:rsid w:val="00A96754"/>
    <w:rsid w:val="00AA7929"/>
    <w:rsid w:val="00AB36B2"/>
    <w:rsid w:val="00AE57DE"/>
    <w:rsid w:val="00AE5FDA"/>
    <w:rsid w:val="00AF45D2"/>
    <w:rsid w:val="00AF7C42"/>
    <w:rsid w:val="00AF7E9B"/>
    <w:rsid w:val="00B150A0"/>
    <w:rsid w:val="00B24AED"/>
    <w:rsid w:val="00B24F7A"/>
    <w:rsid w:val="00B261A4"/>
    <w:rsid w:val="00B27872"/>
    <w:rsid w:val="00B27C0F"/>
    <w:rsid w:val="00B40321"/>
    <w:rsid w:val="00B40900"/>
    <w:rsid w:val="00B44597"/>
    <w:rsid w:val="00B44CA9"/>
    <w:rsid w:val="00B527DF"/>
    <w:rsid w:val="00B55205"/>
    <w:rsid w:val="00B67025"/>
    <w:rsid w:val="00B82991"/>
    <w:rsid w:val="00B85507"/>
    <w:rsid w:val="00B95162"/>
    <w:rsid w:val="00BA39C7"/>
    <w:rsid w:val="00BA54BD"/>
    <w:rsid w:val="00BA7028"/>
    <w:rsid w:val="00BB3112"/>
    <w:rsid w:val="00BB7B6F"/>
    <w:rsid w:val="00BD09E9"/>
    <w:rsid w:val="00BD5A77"/>
    <w:rsid w:val="00BD5D01"/>
    <w:rsid w:val="00BE50D2"/>
    <w:rsid w:val="00BE5A28"/>
    <w:rsid w:val="00BF7BB9"/>
    <w:rsid w:val="00C03FF1"/>
    <w:rsid w:val="00C11D98"/>
    <w:rsid w:val="00C15274"/>
    <w:rsid w:val="00C16AF6"/>
    <w:rsid w:val="00C17311"/>
    <w:rsid w:val="00C210AE"/>
    <w:rsid w:val="00C244E9"/>
    <w:rsid w:val="00C2753B"/>
    <w:rsid w:val="00C4049E"/>
    <w:rsid w:val="00C43D46"/>
    <w:rsid w:val="00C50EB7"/>
    <w:rsid w:val="00C5548E"/>
    <w:rsid w:val="00C55C41"/>
    <w:rsid w:val="00C56C68"/>
    <w:rsid w:val="00C600DF"/>
    <w:rsid w:val="00C60C61"/>
    <w:rsid w:val="00C60E4D"/>
    <w:rsid w:val="00C806A4"/>
    <w:rsid w:val="00C86A42"/>
    <w:rsid w:val="00C96103"/>
    <w:rsid w:val="00CA1382"/>
    <w:rsid w:val="00CA2175"/>
    <w:rsid w:val="00CA4723"/>
    <w:rsid w:val="00CB13AB"/>
    <w:rsid w:val="00CB6428"/>
    <w:rsid w:val="00CB7DF1"/>
    <w:rsid w:val="00CC3598"/>
    <w:rsid w:val="00CD3D23"/>
    <w:rsid w:val="00CD3EC8"/>
    <w:rsid w:val="00CD4366"/>
    <w:rsid w:val="00CE5FAC"/>
    <w:rsid w:val="00CE61F3"/>
    <w:rsid w:val="00CF2D26"/>
    <w:rsid w:val="00CF56E8"/>
    <w:rsid w:val="00D069E4"/>
    <w:rsid w:val="00D11ABD"/>
    <w:rsid w:val="00D24FFA"/>
    <w:rsid w:val="00D26D49"/>
    <w:rsid w:val="00D27DF9"/>
    <w:rsid w:val="00D32BFC"/>
    <w:rsid w:val="00D54F59"/>
    <w:rsid w:val="00D55D40"/>
    <w:rsid w:val="00D601B4"/>
    <w:rsid w:val="00D6451F"/>
    <w:rsid w:val="00D7047F"/>
    <w:rsid w:val="00D96347"/>
    <w:rsid w:val="00D97B11"/>
    <w:rsid w:val="00DA0E2A"/>
    <w:rsid w:val="00DA3115"/>
    <w:rsid w:val="00DA7605"/>
    <w:rsid w:val="00DB013D"/>
    <w:rsid w:val="00DB35B1"/>
    <w:rsid w:val="00DB5FDC"/>
    <w:rsid w:val="00DB6EB8"/>
    <w:rsid w:val="00DD1CAA"/>
    <w:rsid w:val="00DD32F5"/>
    <w:rsid w:val="00DD36AD"/>
    <w:rsid w:val="00DD6BE4"/>
    <w:rsid w:val="00DE337A"/>
    <w:rsid w:val="00DE6CB8"/>
    <w:rsid w:val="00DF0AD1"/>
    <w:rsid w:val="00DF4513"/>
    <w:rsid w:val="00E1662D"/>
    <w:rsid w:val="00E2353B"/>
    <w:rsid w:val="00E24918"/>
    <w:rsid w:val="00E266E4"/>
    <w:rsid w:val="00E26D1B"/>
    <w:rsid w:val="00E30006"/>
    <w:rsid w:val="00E32291"/>
    <w:rsid w:val="00E34A88"/>
    <w:rsid w:val="00E416BF"/>
    <w:rsid w:val="00E45341"/>
    <w:rsid w:val="00E5535A"/>
    <w:rsid w:val="00E63029"/>
    <w:rsid w:val="00E63EA0"/>
    <w:rsid w:val="00E81471"/>
    <w:rsid w:val="00E8231C"/>
    <w:rsid w:val="00E86124"/>
    <w:rsid w:val="00EA1CAF"/>
    <w:rsid w:val="00EA4666"/>
    <w:rsid w:val="00EA5A1B"/>
    <w:rsid w:val="00EB0844"/>
    <w:rsid w:val="00EB54F1"/>
    <w:rsid w:val="00EC5024"/>
    <w:rsid w:val="00EC542C"/>
    <w:rsid w:val="00EC61D5"/>
    <w:rsid w:val="00EC7ACF"/>
    <w:rsid w:val="00EE4305"/>
    <w:rsid w:val="00EE7EF1"/>
    <w:rsid w:val="00EF07BF"/>
    <w:rsid w:val="00EF4583"/>
    <w:rsid w:val="00EF4903"/>
    <w:rsid w:val="00F20746"/>
    <w:rsid w:val="00F326D0"/>
    <w:rsid w:val="00F36738"/>
    <w:rsid w:val="00F36DE8"/>
    <w:rsid w:val="00F37916"/>
    <w:rsid w:val="00F37D68"/>
    <w:rsid w:val="00F40C46"/>
    <w:rsid w:val="00F41AB3"/>
    <w:rsid w:val="00F42D3D"/>
    <w:rsid w:val="00F473AC"/>
    <w:rsid w:val="00F53022"/>
    <w:rsid w:val="00F61689"/>
    <w:rsid w:val="00F649F0"/>
    <w:rsid w:val="00F65BD1"/>
    <w:rsid w:val="00F840C6"/>
    <w:rsid w:val="00F87F2F"/>
    <w:rsid w:val="00F9400C"/>
    <w:rsid w:val="00F95BFA"/>
    <w:rsid w:val="00FA21BD"/>
    <w:rsid w:val="00FA22D3"/>
    <w:rsid w:val="00FA2BE5"/>
    <w:rsid w:val="00FA69F5"/>
    <w:rsid w:val="00FB3404"/>
    <w:rsid w:val="00FB3779"/>
    <w:rsid w:val="00FB3BBE"/>
    <w:rsid w:val="00FD2839"/>
    <w:rsid w:val="00FD5F2B"/>
    <w:rsid w:val="00FD603A"/>
    <w:rsid w:val="00FE2FBA"/>
    <w:rsid w:val="00FE413A"/>
    <w:rsid w:val="00FE4831"/>
    <w:rsid w:val="00FF3D52"/>
    <w:rsid w:val="00FF7F12"/>
    <w:rsid w:val="02EA2B11"/>
    <w:rsid w:val="03176D9E"/>
    <w:rsid w:val="042C5127"/>
    <w:rsid w:val="05377AF6"/>
    <w:rsid w:val="058A12EB"/>
    <w:rsid w:val="058C335C"/>
    <w:rsid w:val="0D984E32"/>
    <w:rsid w:val="0DC77139"/>
    <w:rsid w:val="14D95A63"/>
    <w:rsid w:val="186F7E96"/>
    <w:rsid w:val="18902172"/>
    <w:rsid w:val="1CBA4561"/>
    <w:rsid w:val="1E4A20EA"/>
    <w:rsid w:val="1FF42C27"/>
    <w:rsid w:val="25F0717C"/>
    <w:rsid w:val="267C7458"/>
    <w:rsid w:val="28947ED2"/>
    <w:rsid w:val="2A364C68"/>
    <w:rsid w:val="2A6D4BD4"/>
    <w:rsid w:val="2AF06FEC"/>
    <w:rsid w:val="2C672394"/>
    <w:rsid w:val="2D190336"/>
    <w:rsid w:val="2DC51CA5"/>
    <w:rsid w:val="3CE67E24"/>
    <w:rsid w:val="3CF4109D"/>
    <w:rsid w:val="428B37E5"/>
    <w:rsid w:val="45877EA9"/>
    <w:rsid w:val="461C6BC5"/>
    <w:rsid w:val="488111F4"/>
    <w:rsid w:val="4B2B1CD8"/>
    <w:rsid w:val="5440218B"/>
    <w:rsid w:val="54530E0B"/>
    <w:rsid w:val="55B64B86"/>
    <w:rsid w:val="55DF796C"/>
    <w:rsid w:val="5C9D6FD2"/>
    <w:rsid w:val="5D1E7890"/>
    <w:rsid w:val="5F542325"/>
    <w:rsid w:val="5F8746D6"/>
    <w:rsid w:val="603E08E1"/>
    <w:rsid w:val="60DA7B17"/>
    <w:rsid w:val="61A10151"/>
    <w:rsid w:val="620E1206"/>
    <w:rsid w:val="660F1428"/>
    <w:rsid w:val="6F365DA0"/>
    <w:rsid w:val="715E54E5"/>
    <w:rsid w:val="717B002A"/>
    <w:rsid w:val="71AC39D3"/>
    <w:rsid w:val="72362988"/>
    <w:rsid w:val="765E40C1"/>
    <w:rsid w:val="76AE4A02"/>
    <w:rsid w:val="77025EC8"/>
    <w:rsid w:val="78191162"/>
    <w:rsid w:val="7A5C6730"/>
    <w:rsid w:val="7C4217BA"/>
    <w:rsid w:val="7CC36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996</Characters>
  <Lines>8</Lines>
  <Paragraphs>2</Paragraphs>
  <TotalTime>2</TotalTime>
  <ScaleCrop>false</ScaleCrop>
  <LinksUpToDate>false</LinksUpToDate>
  <CharactersWithSpaces>1168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2018-10-30T07:52:00Z</dcterms:created>
  <dc:creator>陆玮明</dc:creator>
  <cp:lastModifiedBy>陆</cp:lastModifiedBy>
  <cp:lastPrinted>2021-03-15T01:22:00Z</cp:lastPrinted>
  <dcterms:modified xsi:type="dcterms:W3CDTF">2021-03-30T02:09:50Z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445DD93AB3504D72B19C5050510FA374</vt:lpwstr>
  </property>
</Properties>
</file>