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BDA4" w14:textId="5C46EFE5" w:rsidR="002C7C87" w:rsidRPr="002C7C87" w:rsidRDefault="002C7C87" w:rsidP="002C7C87">
      <w:pPr>
        <w:widowControl/>
        <w:spacing w:line="256" w:lineRule="auto"/>
        <w:ind w:firstLineChars="0" w:firstLine="640"/>
        <w:jc w:val="left"/>
        <w:rPr>
          <w:rFonts w:ascii="Calibri" w:eastAsiaTheme="minorEastAsia" w:hAnsi="Calibri" w:cs="Calibri" w:hint="eastAsia"/>
          <w:color w:val="000000"/>
          <w:sz w:val="22"/>
          <w:szCs w:val="22"/>
        </w:rPr>
      </w:pPr>
      <w:r w:rsidRPr="002C7C87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附件 </w:t>
      </w:r>
    </w:p>
    <w:p w14:paraId="04E816F2" w14:textId="77777777" w:rsidR="002C7C87" w:rsidRPr="002C7C87" w:rsidRDefault="002C7C87" w:rsidP="002C7C87">
      <w:pPr>
        <w:widowControl/>
        <w:spacing w:after="1" w:line="256" w:lineRule="auto"/>
        <w:ind w:left="624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hyperlink r:id="rId9" w:history="1">
        <w:r w:rsidRPr="002C7C87">
          <w:rPr>
            <w:rFonts w:ascii="宋体" w:eastAsia="宋体" w:hAnsi="宋体" w:cs="宋体" w:hint="eastAsia"/>
            <w:color w:val="000000"/>
            <w:sz w:val="40"/>
            <w:szCs w:val="22"/>
          </w:rPr>
          <w:t>上海市</w:t>
        </w:r>
      </w:hyperlink>
      <w:r w:rsidRPr="002C7C87">
        <w:rPr>
          <w:rFonts w:ascii="Arial" w:eastAsia="Arial" w:hAnsi="Arial" w:cs="Arial"/>
          <w:color w:val="000000"/>
          <w:sz w:val="40"/>
          <w:szCs w:val="22"/>
        </w:rPr>
        <w:t xml:space="preserve"> </w:t>
      </w:r>
      <w:hyperlink r:id="rId10" w:history="1">
        <w:r w:rsidRPr="002C7C87">
          <w:rPr>
            <w:rFonts w:eastAsia="Times New Roman"/>
            <w:color w:val="000000"/>
            <w:sz w:val="40"/>
            <w:szCs w:val="22"/>
          </w:rPr>
          <w:t>2021</w:t>
        </w:r>
      </w:hyperlink>
      <w:r w:rsidRPr="002C7C87">
        <w:rPr>
          <w:rFonts w:eastAsia="Times New Roman"/>
          <w:color w:val="000000"/>
          <w:sz w:val="40"/>
          <w:szCs w:val="22"/>
        </w:rPr>
        <w:t xml:space="preserve"> </w:t>
      </w:r>
      <w:hyperlink r:id="rId11" w:history="1">
        <w:r w:rsidRPr="002C7C87">
          <w:rPr>
            <w:rFonts w:ascii="宋体" w:eastAsia="宋体" w:hAnsi="宋体" w:cs="宋体" w:hint="eastAsia"/>
            <w:color w:val="000000"/>
            <w:sz w:val="40"/>
            <w:szCs w:val="22"/>
          </w:rPr>
          <w:t>年度</w:t>
        </w:r>
        <w:r w:rsidRPr="002C7C87">
          <w:rPr>
            <w:rFonts w:ascii="Arial" w:eastAsia="Arial" w:hAnsi="Arial" w:cs="Arial"/>
            <w:color w:val="000000"/>
            <w:sz w:val="40"/>
            <w:szCs w:val="22"/>
          </w:rPr>
          <w:t>“</w:t>
        </w:r>
        <w:r w:rsidRPr="002C7C87">
          <w:rPr>
            <w:rFonts w:ascii="宋体" w:eastAsia="宋体" w:hAnsi="宋体" w:cs="宋体" w:hint="eastAsia"/>
            <w:color w:val="000000"/>
            <w:sz w:val="40"/>
            <w:szCs w:val="22"/>
          </w:rPr>
          <w:t>科技创新行动计划</w:t>
        </w:r>
        <w:r w:rsidRPr="002C7C87">
          <w:rPr>
            <w:rFonts w:ascii="Arial" w:eastAsia="Arial" w:hAnsi="Arial" w:cs="Arial"/>
            <w:color w:val="000000"/>
            <w:sz w:val="40"/>
            <w:szCs w:val="22"/>
          </w:rPr>
          <w:t>”</w:t>
        </w:r>
        <w:r w:rsidRPr="002C7C87">
          <w:rPr>
            <w:rFonts w:ascii="宋体" w:eastAsia="宋体" w:hAnsi="宋体" w:cs="宋体" w:hint="eastAsia"/>
            <w:color w:val="000000"/>
            <w:sz w:val="40"/>
            <w:szCs w:val="22"/>
          </w:rPr>
          <w:t>宝山转型发展科技专项项目立项清单</w:t>
        </w:r>
      </w:hyperlink>
      <w:hyperlink r:id="rId12" w:history="1">
        <w:r w:rsidRPr="002C7C87">
          <w:rPr>
            <w:rFonts w:ascii="Arial" w:eastAsia="Arial" w:hAnsi="Arial" w:cs="Arial"/>
            <w:color w:val="000000"/>
            <w:sz w:val="40"/>
            <w:szCs w:val="22"/>
          </w:rPr>
          <w:t xml:space="preserve"> </w:t>
        </w:r>
      </w:hyperlink>
    </w:p>
    <w:p w14:paraId="56C4F7A3" w14:textId="77777777" w:rsidR="002C7C87" w:rsidRPr="002C7C87" w:rsidRDefault="002C7C87" w:rsidP="002C7C87">
      <w:pPr>
        <w:widowControl/>
        <w:spacing w:line="256" w:lineRule="auto"/>
        <w:ind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2C7C87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tbl>
      <w:tblPr>
        <w:tblStyle w:val="TableGrid"/>
        <w:tblW w:w="15331" w:type="dxa"/>
        <w:tblInd w:w="-607" w:type="dxa"/>
        <w:tblCellMar>
          <w:top w:w="49" w:type="dxa"/>
          <w:right w:w="14" w:type="dxa"/>
        </w:tblCellMar>
        <w:tblLook w:val="04A0" w:firstRow="1" w:lastRow="0" w:firstColumn="1" w:lastColumn="0" w:noHBand="0" w:noVBand="1"/>
      </w:tblPr>
      <w:tblGrid>
        <w:gridCol w:w="748"/>
        <w:gridCol w:w="1844"/>
        <w:gridCol w:w="4537"/>
        <w:gridCol w:w="4253"/>
        <w:gridCol w:w="1119"/>
        <w:gridCol w:w="2830"/>
      </w:tblGrid>
      <w:tr w:rsidR="002C7C87" w:rsidRPr="002C7C87" w14:paraId="41A86E61" w14:textId="77777777" w:rsidTr="002C7C87">
        <w:trPr>
          <w:trHeight w:val="6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0B1E" w14:textId="77777777" w:rsidR="002C7C87" w:rsidRPr="002C7C87" w:rsidRDefault="002C7C87" w:rsidP="002C7C87">
            <w:pPr>
              <w:widowControl/>
              <w:spacing w:line="256" w:lineRule="auto"/>
              <w:ind w:left="13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751C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项目编号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8CA3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1E69" w14:textId="77777777" w:rsidR="002C7C87" w:rsidRPr="002C7C87" w:rsidRDefault="002C7C87" w:rsidP="002C7C87">
            <w:pPr>
              <w:widowControl/>
              <w:spacing w:line="256" w:lineRule="auto"/>
              <w:ind w:left="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项目承担单位名称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69C6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项目责任人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C3A5" w14:textId="77777777" w:rsidR="002C7C87" w:rsidRPr="002C7C87" w:rsidRDefault="002C7C87" w:rsidP="002C7C87">
            <w:pPr>
              <w:widowControl/>
              <w:spacing w:line="256" w:lineRule="auto"/>
              <w:ind w:left="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项目实施周期 </w:t>
            </w:r>
          </w:p>
        </w:tc>
      </w:tr>
      <w:tr w:rsidR="002C7C87" w:rsidRPr="002C7C87" w14:paraId="3E923BB1" w14:textId="77777777" w:rsidTr="002C7C87">
        <w:trPr>
          <w:trHeight w:val="6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461E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E6A7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21SQBS00100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9B51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长链非编码 </w:t>
            </w:r>
            <w:r w:rsidRPr="002C7C87">
              <w:rPr>
                <w:rFonts w:eastAsia="Times New Roman"/>
                <w:color w:val="000000"/>
              </w:rPr>
              <w:t xml:space="preserve">RNA </w:t>
            </w:r>
            <w:proofErr w:type="spellStart"/>
            <w:r w:rsidRPr="002C7C87">
              <w:rPr>
                <w:rFonts w:eastAsia="Times New Roman"/>
                <w:color w:val="000000"/>
              </w:rPr>
              <w:t>CPhar</w:t>
            </w:r>
            <w:proofErr w:type="spellEnd"/>
            <w:r w:rsidRPr="002C7C87">
              <w:rPr>
                <w:rFonts w:eastAsia="Times New Roman"/>
                <w:color w:val="000000"/>
              </w:rPr>
              <w:t xml:space="preserve">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防治病理性心肌肥厚和心力衰竭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35A3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上海大学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856F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贝毅桦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B749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39BD6F13" w14:textId="77777777" w:rsidTr="002C7C87">
        <w:trPr>
          <w:trHeight w:val="9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DCC8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9236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21SQBS00200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0C3E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评价盐酸安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罗替尼联合纳武利尤单抗在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晚期胃腺癌和食管鳞癌二线及以上治疗中的疗效及安全性的 </w:t>
            </w:r>
            <w:r w:rsidRPr="002C7C87">
              <w:rPr>
                <w:rFonts w:eastAsia="Times New Roman"/>
                <w:color w:val="000000"/>
              </w:rPr>
              <w:t xml:space="preserve">II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期临床研究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6C48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上海市宝山区吴淞中心医院（复旦大学附属中山医院吴淞医院、上海市宝山区红十字医院）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E41E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崔越宏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42432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39D10A56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0EBC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0C2D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21SQBS00300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F7F0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面向脑卒中康复人群的智能上肢康复机器人研制与临床研究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60A5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上海大学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6519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宋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韬</w:t>
            </w:r>
            <w:proofErr w:type="gramEnd"/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2AAD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09FEFA52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56C4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68A7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21SQBS00400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CB7F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创面牵张闭合系统智能控制与工程样机研制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B8A7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上海迪派生物科技有限公司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BFB3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金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剑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188F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34522F97" w14:textId="77777777" w:rsidTr="002C7C87">
        <w:trPr>
          <w:trHeight w:val="6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E380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5275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21SQBS00500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2BBF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北斗三号 </w:t>
            </w:r>
            <w:r w:rsidRPr="002C7C87">
              <w:rPr>
                <w:rFonts w:eastAsia="Times New Roman"/>
                <w:color w:val="000000"/>
              </w:rPr>
              <w:t xml:space="preserve">RNSS/RDSS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全功能基带芯片及应用模块研制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FEAD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复控华龙微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系统技术有限公司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06D7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董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亮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57B3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0606B989" w14:textId="77777777" w:rsidTr="002C7C87">
        <w:trPr>
          <w:trHeight w:val="3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8B39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DB9B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21SQBS00600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913E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基于 </w:t>
            </w:r>
            <w:r w:rsidRPr="002C7C87">
              <w:rPr>
                <w:rFonts w:eastAsia="Times New Roman"/>
                <w:color w:val="000000"/>
              </w:rPr>
              <w:t xml:space="preserve">CMOS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的高速 </w:t>
            </w:r>
            <w:r w:rsidRPr="002C7C87">
              <w:rPr>
                <w:rFonts w:eastAsia="Times New Roman"/>
                <w:color w:val="000000"/>
              </w:rPr>
              <w:t xml:space="preserve">X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射线图像探测器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B963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上海汉缔医疗设备有限公司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D7D7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陆宏霞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3AE2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4BE72F2A" w14:textId="77777777" w:rsidTr="002C7C87">
        <w:trPr>
          <w:trHeight w:val="6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708B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720B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21SQBS00700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D8E7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磁控电渣重熔制备工业级高品质工模具钢材料的关键技术研究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E5A4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上海大学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A89B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钟云波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2EF4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57C2ABDB" w14:textId="77777777" w:rsidTr="002C7C87">
        <w:trPr>
          <w:trHeight w:val="3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4714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CEE4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21SQBS00800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C7C9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高性能精密异形钢丝的研究开发与应用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4463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宝钢金属有限公司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3FAF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王林烽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225D8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6C5509AD" w14:textId="77777777" w:rsidTr="002C7C87">
        <w:trPr>
          <w:trHeight w:val="39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C8F9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DF2E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21SQBS00900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E909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新型耐高温碳基防腐涂料的研究与制备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EBE4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宝武炭材料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59B3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侯文杰</w:t>
            </w:r>
            <w:proofErr w:type="gramEnd"/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19FF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4B2B8ED9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1AFA" w14:textId="77777777" w:rsidR="002C7C87" w:rsidRPr="002C7C87" w:rsidRDefault="002C7C87" w:rsidP="002C7C87">
            <w:pPr>
              <w:widowControl/>
              <w:spacing w:line="256" w:lineRule="auto"/>
              <w:ind w:left="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964D" w14:textId="77777777" w:rsidR="002C7C87" w:rsidRPr="002C7C87" w:rsidRDefault="002C7C87" w:rsidP="002C7C87">
            <w:pPr>
              <w:widowControl/>
              <w:spacing w:line="256" w:lineRule="auto"/>
              <w:ind w:left="19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21SQBS01000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EBA0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套管高强度粉末内涂层涂料技术研究与应用示范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494C" w14:textId="77777777" w:rsidR="002C7C87" w:rsidRPr="002C7C87" w:rsidRDefault="002C7C87" w:rsidP="002C7C87">
            <w:pPr>
              <w:widowControl/>
              <w:spacing w:line="256" w:lineRule="auto"/>
              <w:ind w:left="14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海隆石油产品技术服务（上海）有限公司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98DD" w14:textId="77777777" w:rsidR="002C7C87" w:rsidRPr="002C7C87" w:rsidRDefault="002C7C87" w:rsidP="002C7C87">
            <w:pPr>
              <w:widowControl/>
              <w:spacing w:line="256" w:lineRule="auto"/>
              <w:ind w:left="-17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孙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健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2F3A" w14:textId="77777777" w:rsidR="002C7C87" w:rsidRPr="002C7C87" w:rsidRDefault="002C7C87" w:rsidP="002C7C87">
            <w:pPr>
              <w:widowControl/>
              <w:spacing w:line="256" w:lineRule="auto"/>
              <w:ind w:left="11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</w:tbl>
    <w:p w14:paraId="6113FF4F" w14:textId="76AFD025" w:rsidR="002C7C87" w:rsidRPr="002C7C87" w:rsidRDefault="002C7C87" w:rsidP="002C7C87">
      <w:pPr>
        <w:widowControl/>
        <w:spacing w:line="256" w:lineRule="auto"/>
        <w:ind w:right="88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5331" w:type="dxa"/>
        <w:tblInd w:w="-607" w:type="dxa"/>
        <w:tblCellMar>
          <w:top w:w="51" w:type="dxa"/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748"/>
        <w:gridCol w:w="1844"/>
        <w:gridCol w:w="4537"/>
        <w:gridCol w:w="4253"/>
        <w:gridCol w:w="1119"/>
        <w:gridCol w:w="2830"/>
      </w:tblGrid>
      <w:tr w:rsidR="002C7C87" w:rsidRPr="002C7C87" w14:paraId="7DC63E98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69CA" w14:textId="77777777" w:rsidR="002C7C87" w:rsidRPr="002C7C87" w:rsidRDefault="002C7C87" w:rsidP="002C7C87">
            <w:pPr>
              <w:widowControl/>
              <w:spacing w:line="256" w:lineRule="auto"/>
              <w:ind w:left="11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序号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56065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项目编号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DFC0" w14:textId="77777777" w:rsidR="002C7C87" w:rsidRPr="002C7C87" w:rsidRDefault="002C7C87" w:rsidP="002C7C87">
            <w:pPr>
              <w:widowControl/>
              <w:spacing w:line="256" w:lineRule="auto"/>
              <w:ind w:right="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B985" w14:textId="77777777" w:rsidR="002C7C87" w:rsidRPr="002C7C87" w:rsidRDefault="002C7C87" w:rsidP="002C7C87">
            <w:pPr>
              <w:widowControl/>
              <w:spacing w:line="256" w:lineRule="auto"/>
              <w:ind w:right="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项目承担单位名称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E4F5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项目责任人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42FA" w14:textId="77777777" w:rsidR="002C7C87" w:rsidRPr="002C7C87" w:rsidRDefault="002C7C87" w:rsidP="002C7C87">
            <w:pPr>
              <w:widowControl/>
              <w:spacing w:line="256" w:lineRule="auto"/>
              <w:ind w:right="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项目实施周期 </w:t>
            </w:r>
          </w:p>
        </w:tc>
      </w:tr>
      <w:tr w:rsidR="002C7C87" w:rsidRPr="002C7C87" w14:paraId="5548F68E" w14:textId="77777777" w:rsidTr="002C7C87">
        <w:trPr>
          <w:trHeight w:val="6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3BE3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583F" w14:textId="77777777" w:rsidR="002C7C87" w:rsidRPr="002C7C87" w:rsidRDefault="002C7C87" w:rsidP="002C7C87">
            <w:pPr>
              <w:widowControl/>
              <w:spacing w:line="256" w:lineRule="auto"/>
              <w:ind w:left="19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21SQBS01100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2821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高浓缩比、高催化性能的 </w:t>
            </w:r>
            <w:r w:rsidRPr="002C7C87">
              <w:rPr>
                <w:rFonts w:eastAsia="Times New Roman"/>
                <w:color w:val="000000"/>
              </w:rPr>
              <w:t xml:space="preserve">VOCs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治理材料制备技术研究及示范应用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3927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上海宝冶工程技术有限公司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6BBB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刘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晓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A141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4414B136" w14:textId="77777777" w:rsidTr="002C7C87">
        <w:trPr>
          <w:trHeight w:val="39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8B69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3593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21SQBS01200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411D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高能锂电池纳米硅基材料制备与应用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C0E9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宝武炭材料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A081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李铮铮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6A6E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193544D4" w14:textId="77777777" w:rsidTr="002C7C87">
        <w:trPr>
          <w:trHeight w:val="6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47BF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5023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21SQBS01300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422E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基于产品信息感知的汽车大型构件机器人智能作业系统研究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B507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发那科机器人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B0F9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钱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晖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1BB9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034FDC88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2A78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12EF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21SQBS01400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56C1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冷轧汽车外板生产线关键设备健康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预诊与智能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运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维系统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研发及示范应用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14BC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宝钢日铁汽车板有限公司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5C58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王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鲁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731C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5C09E30F" w14:textId="77777777" w:rsidTr="002C7C87">
        <w:trPr>
          <w:trHeight w:val="3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FB57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F959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21SQBS01500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9369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滚筒法钢渣处理智能化系统关键技术研究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194E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上海宝钢节能环保技术有限公司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B068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李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嵩</w:t>
            </w:r>
            <w:proofErr w:type="gramEnd"/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7546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4D51A93E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8E1F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lastRenderedPageBreak/>
              <w:t xml:space="preserve">16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DC4F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21SQBS01600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7A26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深度学习驱动的油气钻采装备泄漏检测技术研究与应用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ADE2C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上海大学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F3B6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王玉龙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749A8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6D6001B5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8910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06F9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21SQBS01700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6855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新能源汽车粉末冶金高强度关键零部件制备技术研究与应用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519C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上海家声汽车零部件有限公司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8125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杨百元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607B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5D3594A2" w14:textId="77777777" w:rsidTr="002C7C87">
        <w:trPr>
          <w:trHeight w:val="3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7158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08B8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21SQBS01800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6D30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在线工业 </w:t>
            </w:r>
            <w:r w:rsidRPr="002C7C87">
              <w:rPr>
                <w:rFonts w:eastAsia="Times New Roman"/>
                <w:color w:val="000000"/>
              </w:rPr>
              <w:t xml:space="preserve">XPS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设备开发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F851C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费勉仪器科技（上海）有限公司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3F44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谢斌平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E11B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0AE2F0ED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0428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75A8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21SQBS01900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8312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便携式气相色谱</w:t>
            </w:r>
            <w:r w:rsidRPr="002C7C87">
              <w:rPr>
                <w:rFonts w:eastAsia="Times New Roman"/>
                <w:color w:val="000000"/>
              </w:rPr>
              <w:t>-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四</w:t>
            </w: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极</w:t>
            </w:r>
            <w:proofErr w:type="gramEnd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杆质谱联用仪器的研制及其在环境检测中的应用研究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4FF6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上海大学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651D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程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平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CDB8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1D1D583B" w14:textId="77777777" w:rsidTr="002C7C87">
        <w:trPr>
          <w:trHeight w:val="6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68D9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21E0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21SQBS02000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6E6F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海洋工程高速综合光电互连传输组件工程化技术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6CEC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上海蓝梭电子科技有限公司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4FFC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张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博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3D80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7EB9620D" w14:textId="77777777" w:rsidTr="002C7C87">
        <w:trPr>
          <w:trHeight w:val="6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8550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F22D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21SQBS02100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9752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大功率对转式全回转推进器水动力研发与应用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D8A4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上海倍豪船舶科技有限公司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D9BB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张</w:t>
            </w:r>
            <w:r w:rsidRPr="002C7C87">
              <w:rPr>
                <w:rFonts w:eastAsia="Times New Roman"/>
                <w:color w:val="000000"/>
              </w:rPr>
              <w:t xml:space="preserve"> 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燕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AB38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5710C801" w14:textId="77777777" w:rsidTr="002C7C87">
        <w:trPr>
          <w:trHeight w:val="39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7D57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lastRenderedPageBreak/>
              <w:t xml:space="preserve">22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4CBF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21SQBS02200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0291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燃料电池膜电极生产设备的研究与开发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63F1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上海务宝机电科技有限公司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0AB6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潘红良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D330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2F94B0EF" w14:textId="77777777" w:rsidTr="002C7C87">
        <w:trPr>
          <w:trHeight w:val="6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B9F6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E5E9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21SQBS02300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09CB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基于人工智能芯片的消化内镜智能辅助诊断设备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64AD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上海商汤智能科技有限公司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EF9A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陈翼男</w:t>
            </w:r>
            <w:proofErr w:type="gramEnd"/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2CDF9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  <w:tr w:rsidR="002C7C87" w:rsidRPr="002C7C87" w14:paraId="554BCE03" w14:textId="77777777" w:rsidTr="002C7C87">
        <w:trPr>
          <w:trHeight w:val="39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94BE" w14:textId="77777777" w:rsidR="002C7C87" w:rsidRPr="002C7C87" w:rsidRDefault="002C7C87" w:rsidP="002C7C87">
            <w:pPr>
              <w:widowControl/>
              <w:spacing w:line="256" w:lineRule="auto"/>
              <w:ind w:right="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27A6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21SQBS02400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D110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社区智能回收系统及数字化管理平台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30C6" w14:textId="77777777" w:rsidR="002C7C87" w:rsidRPr="002C7C87" w:rsidRDefault="002C7C87" w:rsidP="002C7C87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上海悦鲲环保科技有限公司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ED3A" w14:textId="77777777" w:rsidR="002C7C87" w:rsidRPr="002C7C87" w:rsidRDefault="002C7C87" w:rsidP="002C7C87">
            <w:pPr>
              <w:widowControl/>
              <w:spacing w:line="256" w:lineRule="auto"/>
              <w:ind w:left="18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>杨晶雯</w:t>
            </w:r>
            <w:r w:rsidRPr="002C7C8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DA6FC" w14:textId="77777777" w:rsidR="002C7C87" w:rsidRPr="002C7C87" w:rsidRDefault="002C7C87" w:rsidP="002C7C87">
            <w:pPr>
              <w:widowControl/>
              <w:spacing w:line="256" w:lineRule="auto"/>
              <w:ind w:left="101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2C7C87">
              <w:rPr>
                <w:rFonts w:eastAsia="Times New Roman"/>
                <w:color w:val="000000"/>
              </w:rPr>
              <w:t xml:space="preserve">2021-07-01 </w:t>
            </w:r>
            <w:r w:rsidRPr="002C7C87">
              <w:rPr>
                <w:rFonts w:ascii="微软雅黑" w:eastAsia="微软雅黑" w:hAnsi="微软雅黑" w:cs="微软雅黑" w:hint="eastAsia"/>
                <w:color w:val="000000"/>
              </w:rPr>
              <w:t xml:space="preserve">至 </w:t>
            </w:r>
            <w:r w:rsidRPr="002C7C87">
              <w:rPr>
                <w:rFonts w:eastAsia="Times New Roman"/>
                <w:color w:val="000000"/>
              </w:rPr>
              <w:t xml:space="preserve">2023-06-30 </w:t>
            </w:r>
          </w:p>
        </w:tc>
      </w:tr>
    </w:tbl>
    <w:p w14:paraId="09EB4A26" w14:textId="77777777" w:rsidR="005B33A4" w:rsidRPr="005B33A4" w:rsidRDefault="005B33A4" w:rsidP="002C7C87">
      <w:pPr>
        <w:ind w:firstLineChars="0" w:firstLine="0"/>
        <w:rPr>
          <w:rFonts w:hint="eastAsia"/>
        </w:rPr>
      </w:pPr>
    </w:p>
    <w:p w14:paraId="18CA002C" w14:textId="77777777" w:rsidR="005B33A4" w:rsidRPr="005B33A4" w:rsidRDefault="005B33A4" w:rsidP="002C7C87">
      <w:pPr>
        <w:tabs>
          <w:tab w:val="left" w:pos="3105"/>
        </w:tabs>
        <w:ind w:firstLineChars="0" w:firstLine="0"/>
      </w:pPr>
      <w:r>
        <w:tab/>
      </w:r>
    </w:p>
    <w:sectPr w:rsidR="005B33A4" w:rsidRPr="005B33A4" w:rsidSect="005B33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620D" w14:textId="77777777" w:rsidR="002818C9" w:rsidRDefault="002818C9">
      <w:pPr>
        <w:ind w:firstLine="480"/>
      </w:pPr>
      <w:r>
        <w:separator/>
      </w:r>
    </w:p>
  </w:endnote>
  <w:endnote w:type="continuationSeparator" w:id="0">
    <w:p w14:paraId="5BF96791" w14:textId="77777777" w:rsidR="002818C9" w:rsidRDefault="002818C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41DE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915C634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3162" w14:textId="77777777" w:rsidR="00166845" w:rsidRDefault="002818C9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79BB5A09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2379F884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2389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804A" w14:textId="77777777" w:rsidR="002818C9" w:rsidRDefault="002818C9">
      <w:pPr>
        <w:ind w:firstLine="480"/>
      </w:pPr>
      <w:r>
        <w:separator/>
      </w:r>
    </w:p>
  </w:footnote>
  <w:footnote w:type="continuationSeparator" w:id="0">
    <w:p w14:paraId="5E9EF132" w14:textId="77777777" w:rsidR="002818C9" w:rsidRDefault="002818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629E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0BB9" w14:textId="5911EEA5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A91018" wp14:editId="5DDB528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6BA96EC1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FD48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7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818C9"/>
    <w:rsid w:val="002C7C87"/>
    <w:rsid w:val="002D17E6"/>
    <w:rsid w:val="00302C8E"/>
    <w:rsid w:val="0032313A"/>
    <w:rsid w:val="0033689C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97146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0FB95"/>
  <w15:docId w15:val="{C2E09E99-B7E2-457B-93B2-7F3F87C6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2C7C87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tcsm.sh.gov.cn/cmsres/89/89dffbb800fc4031b92ab4db27e66c18/22002ee12f29f9714277c905ba1bdf46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csm.sh.gov.cn/cmsres/89/89dffbb800fc4031b92ab4db27e66c18/22002ee12f29f9714277c905ba1bdf46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csm.sh.gov.cn/cmsres/89/89dffbb800fc4031b92ab4db27e66c18/22002ee12f29f9714277c905ba1bdf46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tcsm.sh.gov.cn/cmsres/89/89dffbb800fc4031b92ab4db27e66c18/22002ee12f29f9714277c905ba1bdf46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2</TotalTime>
  <Pages>5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2021-11-19T01:23:00Z</dcterms:created>
  <dcterms:modified xsi:type="dcterms:W3CDTF">2021-11-19T01:25:00Z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